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14.03.2025 N 202</w:t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профессии 23.01.21 Мастер путевых машин"</w:t>
              <w:br/>
              <w:t xml:space="preserve">(Зарегистрировано в Минюсте России 17.04.2025 N 81885)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30.04.2025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17 апреля 2025 г. N 81885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14 марта 2025 г. N 202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ОБРАЗОВАТЕЛЬНОГО СТАНДАРТА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ПРОФЕССИИ</w:t>
      </w:r>
    </w:p>
    <w:p>
      <w:pPr>
        <w:pStyle w:val="2"/>
        <w:jc w:val="center"/>
      </w:pPr>
      <w:r>
        <w:rPr>
          <w:sz w:val="24"/>
        </w:rPr>
        <w:t xml:space="preserve">23.01.21 МАСТЕР ПУТЕВЫХ МАШИН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7" w:tooltip="Постановление Правительства РФ от 28.07.2018 N 884 (ред. от 21.02.2025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подпунктом 4.2.31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w:history="0" r:id="rId8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 прилагаемый федеральный государственный образовательный </w:t>
      </w:r>
      <w:hyperlink w:history="0" w:anchor="P32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профессионального образования по профессии 23.01.21 Мастер путевых машин (далее - стандарт).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Установить, что: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образовательная организация вправе осуществлять в соответствии со </w:t>
      </w:r>
      <w:hyperlink w:history="0" w:anchor="P32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обучение лиц, зачисленных до вступления в силу настоящего приказа, с их согласия;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прием на обучение в соответствии с федеральным государственным образовательным </w:t>
      </w:r>
      <w:hyperlink w:history="0" r:id="rId9" w:tooltip="Приказ Минобрнауки России от 02.08.2013 N 742 (ред. от 03.07.2024) &quot;Об утверждении федерального государственного образовательного стандарта среднего профессионального образования по профессии 270835.01 Мастер путевых машин&quot; (Зарегистрировано в Минюсте России 20.08.2013 N 29561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профессии </w:t>
      </w:r>
      <w:hyperlink w:history="0" r:id="rId10" w:tooltip="Приказ Минобрнауки РФ от 28.09.2009 N 354 (ред. от 21.02.2012) &quot;Об утверждении Перечня профессий начального профессионального образования&quot; (Зарегистрировано в Минюсте РФ 22.10.2009 N 15083) ------------ Утратил силу или отменен {КонсультантПлюс}">
        <w:r>
          <w:rPr>
            <w:sz w:val="24"/>
            <w:color w:val="0000ff"/>
          </w:rPr>
          <w:t xml:space="preserve">270835.01</w:t>
        </w:r>
      </w:hyperlink>
      <w:r>
        <w:rPr>
          <w:sz w:val="24"/>
        </w:rPr>
        <w:t xml:space="preserve"> Мастер путевых машин, утвержденным приказом Министерства образования и науки Российской Федерации от 2 августа 2013 г. N 742 (зарегистрирован Министерством юстиции Российской Федерации 20 августа 2013 г., регистрационный N 29561), с изменениями, внесенными приказом Министерства образования и науки Российской Федерации от 9 апреля 2015 г. N 390 (зарегистрирован Министерством юстиции Российской Федерации 8 мая 2015 г., регистрационный N 37199) и приказами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 и от 3 июля 2024 г. N 464 (зарегистрирован Министерством юстиции Российской Федерации 9 августа 2024 г., регистрационный N 79088), прекращается с 31 декабря 2025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14 марта 2025 г. N 202</w:t>
      </w:r>
    </w:p>
    <w:p>
      <w:pPr>
        <w:pStyle w:val="0"/>
        <w:jc w:val="both"/>
      </w:pPr>
      <w:r>
        <w:rPr>
          <w:sz w:val="24"/>
        </w:rPr>
      </w:r>
    </w:p>
    <w:bookmarkStart w:id="32" w:name="P32"/>
    <w:bookmarkEnd w:id="32"/>
    <w:p>
      <w:pPr>
        <w:pStyle w:val="2"/>
        <w:jc w:val="center"/>
      </w:pPr>
      <w:r>
        <w:rPr>
          <w:sz w:val="24"/>
        </w:rPr>
        <w:t xml:space="preserve">ФЕДЕРАЛЬНЫЙ ГОСУДАРСТВЕННЫЙ ОБРАЗОВАТЕЛЬНЫЙ СТАНДАРТ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ПРОФЕССИИ</w:t>
      </w:r>
    </w:p>
    <w:p>
      <w:pPr>
        <w:pStyle w:val="2"/>
        <w:jc w:val="center"/>
      </w:pPr>
      <w:r>
        <w:rPr>
          <w:sz w:val="24"/>
        </w:rPr>
        <w:t xml:space="preserve">23.01.21 МАСТЕР ПУТЕВЫХ МАШИН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bookmarkStart w:id="38" w:name="P38"/>
    <w:bookmarkEnd w:id="38"/>
    <w:p>
      <w:pPr>
        <w:pStyle w:val="0"/>
        <w:ind w:firstLine="540"/>
        <w:jc w:val="both"/>
      </w:pPr>
      <w:r>
        <w:rPr>
          <w:sz w:val="24"/>
        </w:rP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квалифицированных рабочих, служащих по профессии </w:t>
      </w:r>
      <w:hyperlink w:history="0" r:id="rId11" w:tooltip="Приказ Минпросвещения России от 17.05.2022 N 336 (ред. от 07.11.2024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23.01.21</w:t>
        </w:r>
      </w:hyperlink>
      <w:r>
        <w:rPr>
          <w:sz w:val="24"/>
        </w:rPr>
        <w:t xml:space="preserve"> Мастер путевых машин (далее соответственно - ФГОС СПО, образовательная программа, профессия) в соответствии с квалификацией квалифицированного рабочего, служащего "мастер путевых машин" &lt;1&gt;.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12" w:tooltip="Приказ Минпросвещения России от 17.05.2022 N 336 (ред. от 07.11.2024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профессий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приказами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73797), от 25 сентября 2023 г. N 717 (зарегистрирован Министерством юстиции Российской Федерации 26 октября 2023 г., регистрационный N 75754), от 27 апреля 2024 г. N 289 (зарегистрирован Министерством юстиции Российской Федерации 31 мая 2024 г., регистрационный N 78367) и от 7 ноября 2024 г N 782 (зарегистрирован Министерством юстиции Российской Федерации 10 декабря 2024 г., регистрационный N 80517).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1.2. Получение образования по профессии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w:history="0" r:id="rId13" w:tooltip="Приказ Минобрнауки России от 17.05.2012 N 413 (ред. от 27.12.2023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стандарта</w:t>
        </w:r>
      </w:hyperlink>
      <w:r>
        <w:rPr>
          <w:sz w:val="24"/>
        </w:rP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профессии.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Федеральный государственный образовательный </w:t>
      </w:r>
      <w:hyperlink w:history="0" r:id="rId14" w:tooltip="Приказ Минобрнауки России от 17.05.2012 N 413 (ред. от 27.12.2023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 и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N 1028 (зарегистрирован Министерством юстиции Российской Федерации 2 февраля 2024 г., регистрационный N 77121).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1.4. Обучение по образовательной программе в образовательной организации осуществляется в очной и очно-заочной формах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</w:t>
      </w:r>
      <w:hyperlink w:history="0" r:id="rId15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sz w:val="24"/>
            <w:color w:val="0000ff"/>
          </w:rPr>
          <w:t xml:space="preserve">Часть 2 статьи 12.1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</w:t>
      </w:r>
      <w:hyperlink w:history="0" r:id="rId16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sz w:val="24"/>
            <w:color w:val="0000ff"/>
          </w:rPr>
          <w:t xml:space="preserve">Статья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bookmarkStart w:id="60" w:name="P60"/>
    <w:bookmarkEnd w:id="60"/>
    <w:p>
      <w:pPr>
        <w:pStyle w:val="0"/>
        <w:ind w:firstLine="540"/>
        <w:jc w:val="both"/>
      </w:pPr>
      <w:r>
        <w:rPr>
          <w:sz w:val="24"/>
        </w:rPr>
        <w:t xml:space="preserve"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базе среднего общего образования - 1 год 10 месяцев;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базе основного общего образования - 2 года 10 месяцев.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Срок получения образования по образовательной программе в очно-заочной форме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1.10.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1.11. Конкретный срок получения образования в очно-заочной форме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history="0" w:anchor="P60" w:tooltip="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">
        <w:r>
          <w:rPr>
            <w:sz w:val="24"/>
            <w:color w:val="0000ff"/>
          </w:rPr>
          <w:t xml:space="preserve">пунктом 1.9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&lt;5&gt; </w:t>
      </w:r>
      <w:hyperlink w:history="0" r:id="rId17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{КонсультантПлюс}">
        <w:r>
          <w:rPr>
            <w:sz w:val="24"/>
            <w:color w:val="0000ff"/>
          </w:rPr>
          <w:t xml:space="preserve">Пункт 11</w:t>
        </w:r>
      </w:hyperlink>
      <w:r>
        <w:rPr>
          <w:sz w:val="24"/>
        </w:rP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года.</w:t>
      </w:r>
    </w:p>
    <w:p>
      <w:pPr>
        <w:pStyle w:val="0"/>
        <w:jc w:val="both"/>
      </w:pPr>
      <w:r>
        <w:rPr>
          <w:sz w:val="24"/>
        </w:rPr>
      </w:r>
    </w:p>
    <w:bookmarkStart w:id="72" w:name="P72"/>
    <w:bookmarkEnd w:id="72"/>
    <w:p>
      <w:pPr>
        <w:pStyle w:val="0"/>
        <w:ind w:firstLine="540"/>
        <w:jc w:val="both"/>
      </w:pPr>
      <w:r>
        <w:rPr>
          <w:sz w:val="24"/>
        </w:rPr>
        <w:t xml:space="preserve">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w:history="0" r:id="rId18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17</w:t>
        </w:r>
      </w:hyperlink>
      <w:r>
        <w:rPr>
          <w:sz w:val="24"/>
        </w:rPr>
        <w:t xml:space="preserve"> Транспорт &lt;6&gt;.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&lt;6&gt; </w:t>
      </w:r>
      <w:hyperlink w:history="0" r:id="rId19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Таблица</w:t>
        </w:r>
      </w:hyperlink>
      <w:r>
        <w:rPr>
          <w:sz w:val="24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1.15. При разработке образовательной программы образовательная организация устанавливает направленность, которая соответствует профессии в целом или конкретизирует содержание программы путем ориентации на виды деятельности, с учетом соответствующей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ТРЕБОВАНИЯ К СТРУКТУРЕ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Структура и объем образовательной программы </w:t>
      </w:r>
      <w:hyperlink w:history="0" w:anchor="P88" w:tooltip="Структура и объем образовательной программы">
        <w:r>
          <w:rPr>
            <w:sz w:val="24"/>
            <w:color w:val="0000ff"/>
          </w:rPr>
          <w:t xml:space="preserve">(таблица N 1)</w:t>
        </w:r>
      </w:hyperlink>
      <w:r>
        <w:rPr>
          <w:sz w:val="24"/>
        </w:rPr>
        <w:t xml:space="preserve"> включают: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дисциплины (модули);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практику;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государственную итоговую аттестацию.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bookmarkStart w:id="88" w:name="P88"/>
    <w:bookmarkEnd w:id="88"/>
    <w:p>
      <w:pPr>
        <w:pStyle w:val="0"/>
        <w:jc w:val="center"/>
      </w:pPr>
      <w:r>
        <w:rPr>
          <w:sz w:val="24"/>
        </w:rPr>
        <w:t xml:space="preserve">Структура и объем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26"/>
        <w:gridCol w:w="3345"/>
      </w:tblGrid>
      <w:tr>
        <w:tc>
          <w:tcPr>
            <w:tcW w:w="57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Структура образовательной программы</w:t>
            </w:r>
          </w:p>
        </w:tc>
        <w:tc>
          <w:tcPr>
            <w:tcW w:w="334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образовательной программы, в академических часах</w:t>
            </w:r>
          </w:p>
        </w:tc>
      </w:tr>
      <w:tr>
        <w:tc>
          <w:tcPr>
            <w:tcW w:w="5726" w:type="dxa"/>
          </w:tcPr>
          <w:p>
            <w:pPr>
              <w:pStyle w:val="0"/>
            </w:pPr>
            <w:r>
              <w:rPr>
                <w:sz w:val="24"/>
              </w:rPr>
              <w:t xml:space="preserve">Дисциплины (модули)</w:t>
            </w:r>
          </w:p>
        </w:tc>
        <w:tc>
          <w:tcPr>
            <w:tcW w:w="334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1260</w:t>
            </w:r>
          </w:p>
        </w:tc>
      </w:tr>
      <w:tr>
        <w:tc>
          <w:tcPr>
            <w:tcW w:w="5726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Практика</w:t>
            </w:r>
          </w:p>
        </w:tc>
        <w:tc>
          <w:tcPr>
            <w:tcW w:w="334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1044</w:t>
            </w:r>
          </w:p>
        </w:tc>
      </w:tr>
      <w:tr>
        <w:tc>
          <w:tcPr>
            <w:tcW w:w="5726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итоговая аттестация</w:t>
            </w:r>
          </w:p>
        </w:tc>
        <w:tc>
          <w:tcPr>
            <w:tcW w:w="334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Общий объем образовательной программы:</w:t>
            </w:r>
          </w:p>
        </w:tc>
      </w:tr>
      <w:tr>
        <w:tc>
          <w:tcPr>
            <w:tcW w:w="5726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среднего общего образования</w:t>
            </w:r>
          </w:p>
        </w:tc>
        <w:tc>
          <w:tcPr>
            <w:tcW w:w="334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2952</w:t>
            </w:r>
          </w:p>
        </w:tc>
      </w:tr>
      <w:tr>
        <w:tc>
          <w:tcPr>
            <w:tcW w:w="5726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334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4428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Образовательная программа включает: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социально-гуманитарный цикл;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общепрофессиональный цикл;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профессиональный цикл.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history="0" w:anchor="P132" w:tooltip="III. ТРЕБОВАНИЯ К РЕЗУЛЬТАТАМ ОСВОЕНИЯ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Объем обязательной части без учета объема государственной итоговой аттестации должен составлять не более 80 процентов от общего объема времени, отведенного на освоение образовательной программы.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Вариативная часть образовательной программы объемом не менее 20 процентов от общего объема времени, отведенного на освоение образовательной программы, направлена на дальнейшее развитие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bookmarkStart w:id="113" w:name="P113"/>
    <w:bookmarkEnd w:id="113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выполнение работ по ремонту железнодорожно-строительных машин и механизмов;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выполнение работ по диагностике и наладке узлов, агрегатов и систем железнодорожно-строительных машин;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выполнение работ по эксплуатации оборудования по контролю за состоянием железнодорожного пути.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history="0" w:anchor="P113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пункте 2.4</w:t>
        </w:r>
      </w:hyperlink>
      <w:r>
        <w:rPr>
          <w:sz w:val="24"/>
        </w:rPr>
        <w:t xml:space="preserve"> ФГОС СПО, в рамках вариативной части.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 и не менее 25 процентов - в очно-заочной форме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Общий объем дисциплины "Безопасность жизнедеятельности" в очной форме обучения не может быть менее 36 академических часов, из них на освоение основ военной службы (для юношей) - не менее 24 академических часов; для подгрупп девушек это время может быть использовано на освоение основ медицинских знаний.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"Путевые машины и механизмы", "Общий курс железных дорог", "Путь и путевое хозяйство", "Охрана труда и правила технической эксплуатации железных дорог".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history="0" w:anchor="P113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рассредоточено, чередуясь с учебными занятиями. Типы практики устанавливаются образовательной организацией самостоятельно с учетом ПОП.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2.12. Государственная итоговая аттестация проводится в форме демонстрационного экзамена.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2.13. Государственная итоговая аттестация завершается присвоением квалификации квалифицированного рабочего, служащего, указанной в </w:t>
      </w:r>
      <w:hyperlink w:history="0" w:anchor="P38" w:tooltip="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квалифицированных рабочих, служащих по профессии 23.01.21 Мастер путевых машин (далее соответственно - ФГОС СПО, образовательная программа, профессия) в соответствии с квалификацией квалифицированного рабочего, служащего &quot;мастер путевых машин&quot; &lt;1&gt;.">
        <w:r>
          <w:rPr>
            <w:sz w:val="24"/>
            <w:color w:val="0000ff"/>
          </w:rPr>
          <w:t xml:space="preserve">пункте 1.1</w:t>
        </w:r>
      </w:hyperlink>
      <w:r>
        <w:rPr>
          <w:sz w:val="24"/>
        </w:rPr>
        <w:t xml:space="preserve"> ФГОС СПО.</w:t>
      </w:r>
    </w:p>
    <w:p>
      <w:pPr>
        <w:pStyle w:val="0"/>
        <w:jc w:val="both"/>
      </w:pPr>
      <w:r>
        <w:rPr>
          <w:sz w:val="24"/>
        </w:rPr>
      </w:r>
    </w:p>
    <w:bookmarkStart w:id="132" w:name="P132"/>
    <w:bookmarkEnd w:id="132"/>
    <w:p>
      <w:pPr>
        <w:pStyle w:val="2"/>
        <w:outlineLvl w:val="1"/>
        <w:jc w:val="center"/>
      </w:pPr>
      <w:r>
        <w:rPr>
          <w:sz w:val="24"/>
        </w:rPr>
        <w:t xml:space="preserve">III. ТРЕБОВАНИЯ К РЕЗУЛЬТАТАМ ОСВОЕНИЯ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 результате освоения образовательной программы у выпускника должны быть сформированы общие и профессиональные компетенции.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3.2. Выпускник, освоивший образовательную программу, должен обладать следующими общими компетенциями (далее - ОК):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01. Выбирать способы решения задач профессиональной деятельности применительно к различным контекстам;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04. Эффективно взаимодействовать и работать в коллективе и команде;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09. Пользоваться профессиональной документацией на государственном и иностранном языках.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 </w:t>
      </w:r>
      <w:hyperlink w:history="0" w:anchor="P113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сформированными в том числе на основе профессиональных стандартов (при наличии), указанных в ПОП: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12"/>
        <w:gridCol w:w="5159"/>
      </w:tblGrid>
      <w:tr>
        <w:tc>
          <w:tcPr>
            <w:tcW w:w="39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деятельности</w:t>
            </w:r>
          </w:p>
        </w:tc>
        <w:tc>
          <w:tcPr>
            <w:tcW w:w="515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Профессиональные компетенции, соответствующие видам деятельности</w:t>
            </w:r>
          </w:p>
        </w:tc>
      </w:tr>
      <w:tr>
        <w:tc>
          <w:tcPr>
            <w:tcW w:w="3912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выполнение работ по ремонту железнодорожно-строительных машин и механизмов</w:t>
            </w:r>
          </w:p>
        </w:tc>
        <w:tc>
          <w:tcPr>
            <w:tcW w:w="515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1.1. Контролировать состояние деталей, узлов, агрегатов, систем железнодорожно-строительных машин и механизмов, станков инструментально и визуально.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1.2. Осуществлять наладку, регулировку, техническое обслуживание железнодорожно-строительных машин и механизмов.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1.3. Проводить планово-предупредительные ремонты железнодорожно-строительных машин и механизмов.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1.4. Осуществлять контроль над соблюдением правил технической эксплуатации машин и механизмов обслуживающим их персоналом.</w:t>
            </w:r>
          </w:p>
        </w:tc>
      </w:tr>
      <w:tr>
        <w:tc>
          <w:tcPr>
            <w:tcW w:w="3912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выполнение работ по диагностике и наладке узлов, агрегатов и систем железнодорожно-строительных машин</w:t>
            </w:r>
          </w:p>
        </w:tc>
        <w:tc>
          <w:tcPr>
            <w:tcW w:w="515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2.1. Осуществлять детальный контроль и диагностику деталей, узлов, агрегатов, систем железнодорожно-строительных машин и механизмов.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2.2. Осуществлять наладку, регулировку узлов, механизмов, агрегатов и систем управления железнодорожно-строительных машин с использованием различных техник.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2.3. Контролировать исправность, комплектность инструмента, приборов, приспособлений, инвентаря, используемых для наладки и диагностики узлов, агрегатов и систем железнодорожно-строительных машин.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2.4. Контролировать качество выполнения работ по техническому обслуживанию и ремонту железнодорожно-строительных машин.</w:t>
            </w:r>
          </w:p>
        </w:tc>
      </w:tr>
      <w:tr>
        <w:tc>
          <w:tcPr>
            <w:tcW w:w="3912" w:type="dxa"/>
          </w:tcPr>
          <w:p>
            <w:pPr>
              <w:pStyle w:val="0"/>
            </w:pPr>
            <w:r>
              <w:rPr>
                <w:sz w:val="24"/>
              </w:rPr>
              <w:t xml:space="preserve">выполнение работ по эксплуатации оборудования по контролю за состоянием железнодорожного пути</w:t>
            </w:r>
          </w:p>
        </w:tc>
        <w:tc>
          <w:tcPr>
            <w:tcW w:w="515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Осуществлять детальное обследование состояния железнодорожного пути, контроль и классификацию обнаруженных дефектов, повреждений рельсов и металлических частей стрелочных переводов.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Осуществлять техническое обслуживание и содержание дефектоскопов, путеизмерительных тележек, их источников питания, элементов дефектоскопной и путеизмерительной тележки, регулировать рабочие органы.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3.3. Соблюдать правила технической эксплуатации средств по контролю и диагностики железнодорожного пути.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history="0" w:anchor="P113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3.6. Обучающиеся, осваивающие образовательную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&lt;7&gt; </w:t>
      </w:r>
      <w:hyperlink w:history="0" r:id="rId20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sz w:val="24"/>
            <w:color w:val="0000ff"/>
          </w:rPr>
          <w:t xml:space="preserve">Часть 7 статьи 73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ТРЕБОВАНИЯ К УСЛОВИЯМ РЕАЛИЗАЦИИ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 &lt;8&gt;.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&lt;8&gt; Федеральный </w:t>
      </w:r>
      <w:hyperlink w:history="0" r:id="rId21" w:tooltip="Федеральный закон от 30.03.1999 N 52-ФЗ (ред. от 26.12.2024) &quot;О санитарно-эпидемиологическом благополучии населения&quot; (с изм. и доп., вступ. в силу с 01.03.2025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30 марта 1999 г. N 52-ФЗ "О санитарно-эпидемиологическом благополучии населения"; санитарные правила </w:t>
      </w:r>
      <w:hyperlink w:history="0" r:id="rId22" w:tooltip="Постановление Главного государственного санитарного врача РФ от 28.09.2020 N 28 (ред. от 30.08.2024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{КонсультантПлюс}">
        <w:r>
          <w:rPr>
            <w:sz w:val="24"/>
            <w:color w:val="0000ff"/>
          </w:rPr>
          <w:t xml:space="preserve">СП 2.4.3648-20</w:t>
        </w:r>
      </w:hyperlink>
      <w:r>
        <w:rPr>
          <w:sz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 с изменениями, внесенными постановлением Главного государственного санитарного врача Российской Федерации от 30 августа 2024 г. N 10 (зарегистрировано Министерством юстиции Российской Федерации 17 сентября 2024 г., регистрационный N 79493), действующие до 1 января 2027 г.; санитарно-эпидемиологические правила и нормы </w:t>
      </w:r>
      <w:hyperlink w:history="0" r:id="rId23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населения&quot; (вместе с &quot;СанПиН 2.3/2.4.3590-20. Санитарно-эпидемиологические правила и нормы...&quot;) (Зарегистрировано в Минюсте России 11.11.2020 N 60833) {КонсультантПлюс}">
        <w:r>
          <w:rPr>
            <w:sz w:val="24"/>
            <w:color w:val="0000ff"/>
          </w:rPr>
          <w:t xml:space="preserve">СанПиН 2.3/2.4.3590-20</w:t>
        </w:r>
      </w:hyperlink>
      <w:r>
        <w:rPr>
          <w:sz w:val="24"/>
        </w:rP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 с изменениями, внесенными постановлением Главного государственного санитарного врача Российской Федерации от 22 августа 2024 г. N 9 (зарегистрировано Министерством юстиции Российской Федерации 25 декабря 2024 г., регистрационный N 80757), действующие до 1 января 2027 г.; санитарные правила и нормы </w:t>
      </w:r>
      <w:hyperlink w:history="0" r:id="rId24" w:tooltip="Постановление Главного государственного санитарного врача РФ от 28.01.2021 N 2 (ред. от 30.12.2022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{КонсультантПлюс}">
        <w:r>
          <w:rPr>
            <w:sz w:val="24"/>
            <w:color w:val="0000ff"/>
          </w:rPr>
          <w:t xml:space="preserve">СанПиН 1.2.3685-21</w:t>
        </w:r>
      </w:hyperlink>
      <w:r>
        <w:rPr>
          <w:sz w:val="24"/>
        </w:rP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4.3. Общесистемные требования к условиям реализации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4.4. Требования к материально-техническому и учебно-методическому обеспечению реализации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допускается замена оборудования его виртуальными аналогами;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ж) в качестве основной литературы образовательная организация использует учебники, учебные пособия, предусмотренные ПОП;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4.5. Требования к кадровым условиям реализации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history="0" w:anchor="P72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17 Транспорт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 (имеющих стаж работы в данной профессиональной области не менее трех лет);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72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17 Транспорт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72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17 Транспорт &lt;6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4.6. Требование к финансовым условиям реализации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w:history="0" r:id="rId25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&lt;9&gt; Бюджетный </w:t>
      </w:r>
      <w:hyperlink w:history="0" r:id="rId26" w:tooltip="&quot;Бюджетный кодекс Российской Федерации&quot; от 31.07.1998 N 145-ФЗ (ред. от 21.04.2025) {КонсультантПлюс}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4.7. Требования к применяемым механизмам оценки качества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14.03.2025 N 202</w:t>
            <w:br/>
            <w:t>"Об утверждении федерального государственного образовательного стандарт...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30.04.2025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99281&amp;date=30.04.2025&amp;dst=100052&amp;field=134&amp;demo=2" TargetMode = "External"/>
	<Relationship Id="rId8" Type="http://schemas.openxmlformats.org/officeDocument/2006/relationships/hyperlink" Target="https://login.consultant.ru/link/?req=doc&amp;base=LAW&amp;n=481262&amp;date=30.04.2025&amp;dst=100072&amp;field=134&amp;demo=2" TargetMode = "External"/>
	<Relationship Id="rId9" Type="http://schemas.openxmlformats.org/officeDocument/2006/relationships/hyperlink" Target="https://login.consultant.ru/link/?req=doc&amp;base=LAW&amp;n=484038&amp;date=30.04.2025&amp;dst=100012&amp;field=134&amp;demo=2" TargetMode = "External"/>
	<Relationship Id="rId10" Type="http://schemas.openxmlformats.org/officeDocument/2006/relationships/hyperlink" Target="https://login.consultant.ru/link/?req=doc&amp;base=LAW&amp;n=127684&amp;date=30.04.2025&amp;dst=75&amp;field=134&amp;demo=2" TargetMode = "External"/>
	<Relationship Id="rId11" Type="http://schemas.openxmlformats.org/officeDocument/2006/relationships/hyperlink" Target="https://login.consultant.ru/link/?req=doc&amp;base=LAW&amp;n=493177&amp;date=30.04.2025&amp;dst=946&amp;field=134&amp;demo=2" TargetMode = "External"/>
	<Relationship Id="rId12" Type="http://schemas.openxmlformats.org/officeDocument/2006/relationships/hyperlink" Target="https://login.consultant.ru/link/?req=doc&amp;base=LAW&amp;n=493177&amp;date=30.04.2025&amp;dst=100022&amp;field=134&amp;demo=2" TargetMode = "External"/>
	<Relationship Id="rId13" Type="http://schemas.openxmlformats.org/officeDocument/2006/relationships/hyperlink" Target="https://login.consultant.ru/link/?req=doc&amp;base=LAW&amp;n=470946&amp;date=30.04.2025&amp;dst=4&amp;field=134&amp;demo=2" TargetMode = "External"/>
	<Relationship Id="rId14" Type="http://schemas.openxmlformats.org/officeDocument/2006/relationships/hyperlink" Target="https://login.consultant.ru/link/?req=doc&amp;base=LAW&amp;n=470946&amp;date=30.04.2025&amp;dst=4&amp;field=134&amp;demo=2" TargetMode = "External"/>
	<Relationship Id="rId15" Type="http://schemas.openxmlformats.org/officeDocument/2006/relationships/hyperlink" Target="https://login.consultant.ru/link/?req=doc&amp;base=LAW&amp;n=495182&amp;date=30.04.2025&amp;dst=774&amp;field=134&amp;demo=2" TargetMode = "External"/>
	<Relationship Id="rId16" Type="http://schemas.openxmlformats.org/officeDocument/2006/relationships/hyperlink" Target="https://login.consultant.ru/link/?req=doc&amp;base=LAW&amp;n=495182&amp;date=30.04.2025&amp;dst=100249&amp;field=134&amp;demo=2" TargetMode = "External"/>
	<Relationship Id="rId17" Type="http://schemas.openxmlformats.org/officeDocument/2006/relationships/hyperlink" Target="https://login.consultant.ru/link/?req=doc&amp;base=LAW&amp;n=411930&amp;date=30.04.2025&amp;dst=100030&amp;field=134&amp;demo=2" TargetMode = "External"/>
	<Relationship Id="rId18" Type="http://schemas.openxmlformats.org/officeDocument/2006/relationships/hyperlink" Target="https://login.consultant.ru/link/?req=doc&amp;base=LAW&amp;n=214720&amp;date=30.04.2025&amp;dst=100082&amp;field=134&amp;demo=2" TargetMode = "External"/>
	<Relationship Id="rId19" Type="http://schemas.openxmlformats.org/officeDocument/2006/relationships/hyperlink" Target="https://login.consultant.ru/link/?req=doc&amp;base=LAW&amp;n=214720&amp;date=30.04.2025&amp;dst=100047&amp;field=134&amp;demo=2" TargetMode = "External"/>
	<Relationship Id="rId20" Type="http://schemas.openxmlformats.org/officeDocument/2006/relationships/hyperlink" Target="https://login.consultant.ru/link/?req=doc&amp;base=LAW&amp;n=495182&amp;date=30.04.2025&amp;dst=415&amp;field=134&amp;demo=2" TargetMode = "External"/>
	<Relationship Id="rId21" Type="http://schemas.openxmlformats.org/officeDocument/2006/relationships/hyperlink" Target="https://login.consultant.ru/link/?req=doc&amp;base=LAW&amp;n=484629&amp;date=30.04.2025&amp;demo=2" TargetMode = "External"/>
	<Relationship Id="rId22" Type="http://schemas.openxmlformats.org/officeDocument/2006/relationships/hyperlink" Target="https://login.consultant.ru/link/?req=doc&amp;base=LAW&amp;n=486034&amp;date=30.04.2025&amp;dst=100047&amp;field=134&amp;demo=2" TargetMode = "External"/>
	<Relationship Id="rId23" Type="http://schemas.openxmlformats.org/officeDocument/2006/relationships/hyperlink" Target="https://login.consultant.ru/link/?req=doc&amp;base=LAW&amp;n=494597&amp;date=30.04.2025&amp;dst=100037&amp;field=134&amp;demo=2" TargetMode = "External"/>
	<Relationship Id="rId24" Type="http://schemas.openxmlformats.org/officeDocument/2006/relationships/hyperlink" Target="https://login.consultant.ru/link/?req=doc&amp;base=LAW&amp;n=441707&amp;date=30.04.2025&amp;dst=100137&amp;field=134&amp;demo=2" TargetMode = "External"/>
	<Relationship Id="rId25" Type="http://schemas.openxmlformats.org/officeDocument/2006/relationships/hyperlink" Target="https://login.consultant.ru/link/?req=doc&amp;base=LAW&amp;n=495182&amp;date=30.04.2025&amp;demo=2" TargetMode = "External"/>
	<Relationship Id="rId26" Type="http://schemas.openxmlformats.org/officeDocument/2006/relationships/hyperlink" Target="https://login.consultant.ru/link/?req=doc&amp;base=LAW&amp;n=503620&amp;date=30.04.2025&amp;demo=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14.03.2025 N 202
"Об утверждении федерального государственного образовательного стандарта среднего профессионального образования по профессии 23.01.21 Мастер путевых машин"
(Зарегистрировано в Минюсте России 17.04.2025 N 81885)</dc:title>
  <dcterms:created xsi:type="dcterms:W3CDTF">2025-04-30T07:38:05Z</dcterms:created>
</cp:coreProperties>
</file>